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3495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评标方法细则</w:t>
      </w:r>
    </w:p>
    <w:tbl>
      <w:tblPr>
        <w:tblStyle w:val="3"/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3"/>
        <w:gridCol w:w="914"/>
        <w:gridCol w:w="6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评审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项目</w:t>
            </w:r>
          </w:p>
        </w:tc>
        <w:tc>
          <w:tcPr>
            <w:tcW w:w="9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分值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100分</w:t>
            </w:r>
          </w:p>
        </w:tc>
        <w:tc>
          <w:tcPr>
            <w:tcW w:w="6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评标要点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5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报价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得分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满分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分</w:t>
            </w:r>
          </w:p>
        </w:tc>
        <w:tc>
          <w:tcPr>
            <w:tcW w:w="6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报价得分</w:t>
            </w:r>
            <w:r>
              <w:rPr>
                <w:rFonts w:hint="eastAsia"/>
                <w:lang w:val="en-US" w:eastAsia="zh-CN"/>
              </w:rPr>
              <w:t>=（基准价/报价）×30%×100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5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药剂业绩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满分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分</w:t>
            </w:r>
          </w:p>
        </w:tc>
        <w:tc>
          <w:tcPr>
            <w:tcW w:w="6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投标人近5年内（从本次开标之日起往前推5年）每提供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一个在安徽境内，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三级以上（含三级）医院二氧化氯采购合同的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4分。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最多得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分，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原件备查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8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维保业绩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满分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分</w:t>
            </w:r>
          </w:p>
        </w:tc>
        <w:tc>
          <w:tcPr>
            <w:tcW w:w="6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投标人近5年内（从本次开标之日起往前推5年）每提供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一个在安徽境内，三甲医院污水维保合同的加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5分。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最多得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0分，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原件备查。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改造业绩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满分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分</w:t>
            </w:r>
          </w:p>
        </w:tc>
        <w:tc>
          <w:tcPr>
            <w:tcW w:w="6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投标人近5年内（从本次开标之日起往前推5年）每提供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一个在安徽境内，污水站使用二氧化氯消毒剂且医院床位≥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1000张的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污水站改造合同的加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5分。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最多得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分，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原件备查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清淤业绩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满分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分</w:t>
            </w:r>
          </w:p>
        </w:tc>
        <w:tc>
          <w:tcPr>
            <w:tcW w:w="6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投标人近5年内（从本次开标之日起往前推5年）每提供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一个在安徽境内，医院床位≥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1000张的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污水站清淤合同的加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4分。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最多得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分，需提供合同原件。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149AF"/>
    <w:rsid w:val="051149AF"/>
    <w:rsid w:val="293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2020-06-18T00:42:00Z</dcterms:created>
  <dc:creator>Administrator</dc:creator>
  <cp:lastModifiedBy>Administrator</cp:lastModifiedBy>
  <dcterms:modified xsi:type="dcterms:W3CDTF">2020-06-18T02:37:40Z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