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一、性能参数：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网络吞吐量≥500Mb，带宽性能≥200Mb，支持用户数≥200，每秒新建连接数≥2400，最大并发连接数≥120000。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硬件参数：标准机架式设备，内存大小≥4G，硬盘容量≥128GB minisata SSD，接口：至少4个千兆电口。·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二、功能参数：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1.支持网关模式，支持NAT、路</w:t>
      </w:r>
      <w:bookmarkStart w:id="0" w:name="_GoBack"/>
      <w:bookmarkEnd w:id="0"/>
      <w:r>
        <w:rPr>
          <w:rFonts w:hint="eastAsia"/>
          <w:sz w:val="28"/>
          <w:szCs w:val="28"/>
        </w:rPr>
        <w:t>由转发、DHCP、GRE、OSPF等功能；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2.支持部署在IPv6环境中，设备接口及部署模式均支持ipv6配置；所有核心功能（上网认证、应用控制、流量控制、内容审计、日志报表等）都支持IPv6；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3.支持管理员账号登录允许尝试次数可配，并支持管理员用户登录进行双因素认证，密码认证加邮件验证码； 管理员账号支持ACACS+/RADIUS/LDAP协议外部认证；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4.★支持二维码认证，管理员扫描访客的二维码后对其网络访问授权（提供产品界面截图）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5.支持对网站黑链进行检测，对已发现的黑链提供举证便于快速修复；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6.支持radius、AD、POP3、Proxy、PPPOE、 H3C IMC/CAMS、锐捷 SAM、城市热点等系统进行认证单点登录，简化用户操作；可强制指定用户、指定IP段的用户必须使用单点登录；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7.★支持终端调用管理员指定脚本/程序以满足个性化检查要求，比如检测系统更新是否开启、开放端口、已安装程序列表、终端发通知等；（提供产品界面截图）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8.能够对新浪微博、腾讯微博、网易微博等进行细分控制，如：登录、浏览、发微博、上传附件等；能够对teamview、QQ远程桌面等远程控制应用做细分控制，如：接受对方远程控制；能够对Github、百度网盘、百度文库等网络应用的上传动作进行细分控制；（所有功能必须提供产品界面截图）（需提供相关功能截图证明）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9.★识别并过滤SSL加密的钓鱼网站、非法网站等（必须提供自主知识产权证明）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10.基于“流量”、“流速”、“时长”设置配额，当配额耗尽后，将用户加入到指定的流控黑名单惩罚通道中（提供产品界面截图）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11.支持基于时间段/用户/用户组/终端类型/位置等维度，针对具体某个域名的访问流量排行；支持基于时间/用户/用户组/上行/下行/总体等维度的域名流量排行。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三、资质要求：（需提供资质证明）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1.★厂商具备CMMI L5认证证书；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2.★厂商为国家信息安全漏洞共享平台CNVD技术组和用户组成员，提供CNVD官网截图证明或证书复印件；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85"/>
    <w:rsid w:val="003957EE"/>
    <w:rsid w:val="00FE3785"/>
    <w:rsid w:val="30F65894"/>
    <w:rsid w:val="7415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991</Characters>
  <Lines>8</Lines>
  <Paragraphs>2</Paragraphs>
  <TotalTime>2</TotalTime>
  <ScaleCrop>false</ScaleCrop>
  <LinksUpToDate>false</LinksUpToDate>
  <CharactersWithSpaces>1162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2020-12-16T03:13:00Z</dcterms:created>
  <dc:creator>Windows User</dc:creator>
  <cp:lastModifiedBy>Administrator</cp:lastModifiedBy>
  <dcterms:modified xsi:type="dcterms:W3CDTF">2021-01-05T01:15:30Z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